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r w:rsidRPr="00E1320E">
        <w:rPr>
          <w:b/>
        </w:rPr>
        <w:t>ТЕХНИЧЕСКОЕ ЗАДАНИЕ</w:t>
      </w:r>
    </w:p>
    <w:p w:rsidR="001A3DB7" w:rsidRPr="00E1320E" w:rsidRDefault="001A3DB7" w:rsidP="00CD4A95">
      <w:pPr>
        <w:spacing w:after="20"/>
        <w:jc w:val="center"/>
        <w:rPr>
          <w:b/>
        </w:rPr>
      </w:pPr>
    </w:p>
    <w:p w:rsidR="0013007C" w:rsidRDefault="00561983" w:rsidP="0013007C">
      <w:pPr>
        <w:spacing w:after="20"/>
        <w:jc w:val="center"/>
        <w:rPr>
          <w:b/>
        </w:rPr>
      </w:pPr>
      <w:r w:rsidRPr="00E1320E">
        <w:rPr>
          <w:b/>
        </w:rPr>
        <w:t xml:space="preserve">На </w:t>
      </w:r>
      <w:r w:rsidR="003063B8" w:rsidRPr="003063B8">
        <w:rPr>
          <w:b/>
        </w:rPr>
        <w:t>Строительство</w:t>
      </w:r>
    </w:p>
    <w:p w:rsidR="00C60DD5" w:rsidRPr="003063B8" w:rsidRDefault="00124CED" w:rsidP="0013007C">
      <w:pPr>
        <w:spacing w:after="20"/>
        <w:jc w:val="center"/>
        <w:rPr>
          <w:b/>
        </w:rPr>
      </w:pPr>
      <w:r w:rsidRPr="00124CED">
        <w:rPr>
          <w:b/>
        </w:rPr>
        <w:t>Канализационная сеть от границы земельного участка ул. Октябрьская ж/д 40 до уличного канализационного коллектора по ул. Октябрьская</w:t>
      </w:r>
      <w:r>
        <w:rPr>
          <w:b/>
        </w:rPr>
        <w:t xml:space="preserve">. </w:t>
      </w:r>
      <w:r w:rsidR="003B0E72">
        <w:rPr>
          <w:b/>
        </w:rPr>
        <w:t>D = 160 мм, L = 14</w:t>
      </w:r>
      <w:r w:rsidR="003063B8" w:rsidRPr="003063B8">
        <w:rPr>
          <w:b/>
        </w:rPr>
        <w:t xml:space="preserve"> м.</w:t>
      </w:r>
    </w:p>
    <w:p w:rsidR="00666D57" w:rsidRPr="00E1320E" w:rsidRDefault="00666D57" w:rsidP="00CD4A95">
      <w:pPr>
        <w:spacing w:after="20"/>
        <w:jc w:val="both"/>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495DF8">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t>в границах предполагаемых земель для использования (По</w:t>
      </w:r>
      <w:r w:rsidR="0013007C">
        <w:t>с</w:t>
      </w:r>
      <w:r w:rsidR="00495DF8">
        <w:t>т</w:t>
      </w:r>
      <w:r w:rsidR="00765512">
        <w:t xml:space="preserve">ановление Администрации БГО № </w:t>
      </w:r>
      <w:r w:rsidR="00124CED">
        <w:t>977-6</w:t>
      </w:r>
      <w:r w:rsidR="00CD4A95">
        <w:t xml:space="preserve"> </w:t>
      </w:r>
      <w:r>
        <w:t xml:space="preserve">от </w:t>
      </w:r>
      <w:r w:rsidR="00124CED">
        <w:t>25</w:t>
      </w:r>
      <w:r>
        <w:t>.</w:t>
      </w:r>
      <w:r w:rsidR="00124CED">
        <w:t>10</w:t>
      </w:r>
      <w:r>
        <w:t>.201</w:t>
      </w:r>
      <w:r w:rsidR="003063B8">
        <w:t>9</w:t>
      </w:r>
      <w:r>
        <w:t xml:space="preserve"> «О разрешении ис</w:t>
      </w:r>
      <w:r w:rsidR="00124CED">
        <w:t>пользования земель в кадастровом</w:t>
      </w:r>
      <w:r>
        <w:t xml:space="preserve"> квартал</w:t>
      </w:r>
      <w:r w:rsidR="00124CED">
        <w:t>е</w:t>
      </w:r>
      <w:r>
        <w:t xml:space="preserve"> 66:35:</w:t>
      </w:r>
      <w:r w:rsidR="00765512">
        <w:t>010</w:t>
      </w:r>
      <w:r w:rsidR="00124CED">
        <w:t xml:space="preserve">4008 </w:t>
      </w:r>
      <w:r>
        <w:t xml:space="preserve">для </w:t>
      </w:r>
      <w:r w:rsidR="00124CED">
        <w:t>размещения</w:t>
      </w:r>
      <w:r>
        <w:t xml:space="preserve"> </w:t>
      </w:r>
      <w:r w:rsidR="00891B05">
        <w:t>канализации</w:t>
      </w:r>
      <w:r w:rsidR="00124CED">
        <w:t>,</w:t>
      </w:r>
      <w:r w:rsidR="00495DF8">
        <w:t xml:space="preserve"> </w:t>
      </w:r>
      <w:r w:rsidR="00124CED">
        <w:t>местоположение</w:t>
      </w:r>
      <w:r w:rsidR="00495DF8">
        <w:t>:</w:t>
      </w:r>
      <w:r w:rsidR="00124CED">
        <w:t xml:space="preserve"> Российская Федерация,</w:t>
      </w:r>
      <w:r w:rsidR="00495DF8">
        <w:t xml:space="preserve"> </w:t>
      </w:r>
      <w:r>
        <w:t>Свердловская область,</w:t>
      </w:r>
      <w:r w:rsidR="00124CED">
        <w:t xml:space="preserve"> Березовский городской округ, </w:t>
      </w:r>
      <w:r w:rsidR="0013007C">
        <w:t xml:space="preserve"> </w:t>
      </w:r>
      <w:r>
        <w:t xml:space="preserve">г. Березовский, </w:t>
      </w:r>
      <w:r w:rsidR="00124CED">
        <w:t xml:space="preserve">к земельному участку по </w:t>
      </w:r>
      <w:r w:rsidR="00495DF8">
        <w:t xml:space="preserve">ул. </w:t>
      </w:r>
      <w:r w:rsidR="00124CED">
        <w:t>Октябрьская</w:t>
      </w:r>
      <w:r>
        <w:t xml:space="preserve">, </w:t>
      </w:r>
      <w:r w:rsidR="00124CED">
        <w:t>40</w:t>
      </w:r>
      <w:r>
        <w:t xml:space="preserve">») </w:t>
      </w:r>
      <w:r w:rsidR="00891B05" w:rsidRPr="00891B05">
        <w:t>от границы земельного участка ул.</w:t>
      </w:r>
      <w:r w:rsidR="00891B05">
        <w:t xml:space="preserve"> </w:t>
      </w:r>
      <w:r w:rsidR="00124CED">
        <w:t>Октябрьская</w:t>
      </w:r>
      <w:r w:rsidR="003063B8">
        <w:t xml:space="preserve">, </w:t>
      </w:r>
      <w:r w:rsidR="00124CED">
        <w:t>40</w:t>
      </w:r>
      <w:r w:rsidR="003063B8">
        <w:t xml:space="preserve"> </w:t>
      </w:r>
      <w:r w:rsidR="00891B05">
        <w:t xml:space="preserve">до канализационного </w:t>
      </w:r>
      <w:r w:rsidR="00891B05" w:rsidRPr="00891B05">
        <w:t>коллектора</w:t>
      </w:r>
      <w:r w:rsidR="00CD4A95">
        <w:t xml:space="preserve"> Д=</w:t>
      </w:r>
      <w:r w:rsidR="00124CED">
        <w:t>7</w:t>
      </w:r>
      <w:r w:rsidR="00765512">
        <w:t>0</w:t>
      </w:r>
      <w:r w:rsidR="003063B8">
        <w:t>0</w:t>
      </w:r>
      <w:r w:rsidR="00891B05">
        <w:t>мм</w:t>
      </w:r>
      <w:r w:rsidR="00765512">
        <w:t xml:space="preserve">, </w:t>
      </w:r>
      <w:r w:rsidR="00124CED">
        <w:t>ж/б</w:t>
      </w:r>
      <w:r w:rsidR="00891B05">
        <w:t>,</w:t>
      </w:r>
      <w:r w:rsidR="00891B05" w:rsidRPr="00891B05">
        <w:t xml:space="preserve"> проложенного </w:t>
      </w:r>
      <w:r w:rsidR="003063B8">
        <w:t>по</w:t>
      </w:r>
      <w:r w:rsidR="00495DF8">
        <w:t xml:space="preserve"> </w:t>
      </w:r>
      <w:r w:rsidR="003063B8">
        <w:t xml:space="preserve">ул. </w:t>
      </w:r>
      <w:r w:rsidR="00124CED">
        <w:t>Октябрьская</w:t>
      </w:r>
      <w:r w:rsidRPr="00E1320E">
        <w:t>.</w:t>
      </w:r>
    </w:p>
    <w:p w:rsidR="00744EC8" w:rsidRPr="00E1320E" w:rsidRDefault="00744EC8" w:rsidP="00CD4A9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124CED" w:rsidRPr="00124CED">
        <w:t>Канализационная сеть от границы земельного участка ул. Октябрьская ж/д 40 до уличного канализационного коллектора по ул. Октябрьская</w:t>
      </w:r>
      <w:r w:rsidRPr="00E1320E">
        <w:t>»</w:t>
      </w:r>
      <w:r w:rsidR="004E397C">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124CED">
        <w:rPr>
          <w:color w:val="000000"/>
        </w:rPr>
        <w:t xml:space="preserve"> 45</w:t>
      </w:r>
      <w:r w:rsidRPr="00E1320E">
        <w:rPr>
          <w:color w:val="000000"/>
        </w:rPr>
        <w:t xml:space="preserve"> (</w:t>
      </w:r>
      <w:r w:rsidR="00124CED">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C671C1" w:rsidRPr="00E1320E" w:rsidRDefault="00C671C1" w:rsidP="00CD4A95">
      <w:pPr>
        <w:spacing w:after="20"/>
        <w:ind w:firstLine="426"/>
        <w:jc w:val="both"/>
      </w:pPr>
      <w:r w:rsidRPr="00E1320E">
        <w:t>Локальный сметный расчет</w:t>
      </w:r>
      <w:r w:rsidR="00F53556" w:rsidRPr="00E1320E">
        <w:t>.</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 xml:space="preserve">: </w:t>
      </w:r>
      <w:r w:rsidR="00953A04">
        <w:t>Н=</w:t>
      </w:r>
      <w:r w:rsidR="00495DF8">
        <w:t>3</w:t>
      </w:r>
      <w:r w:rsidR="00891B05">
        <w:t>,</w:t>
      </w:r>
      <w:r w:rsidR="00124CED">
        <w:t>2</w:t>
      </w:r>
      <w:r w:rsidR="00BF68A5">
        <w:t xml:space="preserve"> м</w:t>
      </w:r>
      <w:r w:rsidR="00D364C3">
        <w:t xml:space="preserve">; </w:t>
      </w:r>
      <w:r w:rsidRPr="00E1320E">
        <w:rPr>
          <w:lang w:val="en-US"/>
        </w:rPr>
        <w:t>L</w:t>
      </w:r>
      <w:r w:rsidR="002E0DFC">
        <w:t>=</w:t>
      </w:r>
      <w:r w:rsidR="00124CED">
        <w:t>14</w:t>
      </w:r>
      <w:r w:rsidRPr="00E1320E">
        <w:t xml:space="preserve"> м:</w:t>
      </w:r>
    </w:p>
    <w:p w:rsidR="00CD4A95" w:rsidRDefault="00156AFB" w:rsidP="00CD4A95">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E1320E">
        <w:rPr>
          <w:lang w:val="en-US"/>
        </w:rPr>
        <w:t>L</w:t>
      </w:r>
      <w:r w:rsidR="00497CC8">
        <w:t>=</w:t>
      </w:r>
      <w:r w:rsidR="00124CED">
        <w:t>4</w:t>
      </w:r>
      <w:r w:rsidRPr="00E1320E">
        <w:t xml:space="preserve">м – сухой грунт, </w:t>
      </w:r>
      <w:r w:rsidR="003B73B5">
        <w:t>открытый</w:t>
      </w:r>
      <w:r w:rsidR="00891B05">
        <w:t xml:space="preserve"> способ прокладки</w:t>
      </w:r>
    </w:p>
    <w:p w:rsidR="00440B31" w:rsidRDefault="00891B05" w:rsidP="00440B31">
      <w:pPr>
        <w:pStyle w:val="a5"/>
        <w:spacing w:after="20"/>
        <w:ind w:left="426"/>
        <w:jc w:val="both"/>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Pr>
          <w:lang w:val="en-US"/>
        </w:rPr>
        <w:t>SN</w:t>
      </w:r>
      <w:r w:rsidR="00FC243E" w:rsidRPr="00FC243E">
        <w:t xml:space="preserve"> 8 </w:t>
      </w:r>
      <w:r>
        <w:t>ТУ 22.21.21-005-73011750-2017</w:t>
      </w:r>
      <w:r w:rsidR="00765512" w:rsidRPr="00765512">
        <w:t xml:space="preserve"> </w:t>
      </w:r>
    </w:p>
    <w:p w:rsidR="00C649AC" w:rsidRDefault="00C649AC" w:rsidP="00C649AC">
      <w:pPr>
        <w:pStyle w:val="a5"/>
        <w:numPr>
          <w:ilvl w:val="0"/>
          <w:numId w:val="3"/>
        </w:numPr>
        <w:spacing w:after="20"/>
        <w:ind w:left="0" w:firstLine="426"/>
        <w:jc w:val="both"/>
      </w:pPr>
      <w:r w:rsidRPr="00E1320E">
        <w:t>Д-</w:t>
      </w:r>
      <w:r>
        <w:t>160</w:t>
      </w:r>
      <w:r w:rsidRPr="00E1320E">
        <w:t>х</w:t>
      </w:r>
      <w:r>
        <w:t xml:space="preserve">14,6 </w:t>
      </w:r>
      <w:r w:rsidRPr="00E1320E">
        <w:t xml:space="preserve">мм, </w:t>
      </w:r>
      <w:r w:rsidRPr="00E1320E">
        <w:rPr>
          <w:lang w:val="en-US"/>
        </w:rPr>
        <w:t>L</w:t>
      </w:r>
      <w:r>
        <w:t>=1</w:t>
      </w:r>
      <w:r>
        <w:t>0</w:t>
      </w:r>
      <w:bookmarkStart w:id="0" w:name="_GoBack"/>
      <w:bookmarkEnd w:id="0"/>
      <w:r w:rsidRPr="00E1320E">
        <w:t xml:space="preserve">м – сухой грунт, </w:t>
      </w:r>
      <w:r>
        <w:t>закрытый способ прокладки</w:t>
      </w:r>
    </w:p>
    <w:p w:rsidR="00C649AC" w:rsidRDefault="00C649AC" w:rsidP="00C649AC">
      <w:pPr>
        <w:pStyle w:val="a5"/>
        <w:spacing w:after="20"/>
        <w:ind w:left="0"/>
      </w:pPr>
      <w:r>
        <w:t xml:space="preserve">трубы </w:t>
      </w:r>
      <w:r w:rsidRPr="00E1320E">
        <w:t xml:space="preserve">полиэтиленовые питьевые ПЭ 100 </w:t>
      </w:r>
      <w:r w:rsidRPr="00E1320E">
        <w:rPr>
          <w:lang w:val="en-US"/>
        </w:rPr>
        <w:t>SDR</w:t>
      </w:r>
      <w:r>
        <w:t xml:space="preserve"> 11</w:t>
      </w:r>
      <w:r w:rsidRPr="00E1320E">
        <w:t xml:space="preserve"> ГОСТ 18599-2001</w:t>
      </w:r>
      <w:r w:rsidRPr="00765512">
        <w:t xml:space="preserve"> </w:t>
      </w:r>
    </w:p>
    <w:p w:rsidR="00E843E3" w:rsidRDefault="00FC243E" w:rsidP="0013007C">
      <w:pPr>
        <w:pStyle w:val="a5"/>
        <w:numPr>
          <w:ilvl w:val="0"/>
          <w:numId w:val="3"/>
        </w:numPr>
        <w:spacing w:after="20"/>
        <w:ind w:left="0" w:firstLine="426"/>
        <w:jc w:val="both"/>
      </w:pPr>
      <w:r w:rsidRPr="00FC243E">
        <w:t>Телевизионное инспекционное обследование трубопровода</w:t>
      </w:r>
      <w:r w:rsidR="00C93E36">
        <w:t>.</w:t>
      </w:r>
    </w:p>
    <w:p w:rsidR="00124CED" w:rsidRDefault="00F80E9B" w:rsidP="0013007C">
      <w:pPr>
        <w:pStyle w:val="a5"/>
        <w:numPr>
          <w:ilvl w:val="0"/>
          <w:numId w:val="3"/>
        </w:numPr>
        <w:spacing w:after="20"/>
        <w:ind w:left="0" w:firstLine="426"/>
        <w:jc w:val="both"/>
      </w:pPr>
      <w:r>
        <w:t>Строительство канализационных колодцев</w:t>
      </w:r>
      <w:r w:rsidR="00124CED" w:rsidRPr="00124CED">
        <w:t xml:space="preserve"> </w:t>
      </w:r>
      <w:r w:rsidR="00124CED">
        <w:t>К</w:t>
      </w:r>
      <w:r w:rsidR="00124CED" w:rsidRPr="00E1320E">
        <w:t>К-1</w:t>
      </w:r>
      <w:r>
        <w:t xml:space="preserve"> и КК-2</w:t>
      </w:r>
      <w:r w:rsidR="00124CED" w:rsidRPr="00E1320E">
        <w:t xml:space="preserve">, </w:t>
      </w:r>
      <w:r w:rsidR="00124CED" w:rsidRPr="00E1320E">
        <w:rPr>
          <w:lang w:val="en-US"/>
        </w:rPr>
        <w:t>H</w:t>
      </w:r>
      <w:r w:rsidR="00124CED">
        <w:t>=3500мм, Д-10</w:t>
      </w:r>
      <w:r w:rsidR="00124CED" w:rsidRPr="00E1320E">
        <w:t>00мм, ж/б.</w:t>
      </w:r>
    </w:p>
    <w:p w:rsidR="00822D01" w:rsidRDefault="00822D01" w:rsidP="0013007C">
      <w:pPr>
        <w:pStyle w:val="a5"/>
        <w:numPr>
          <w:ilvl w:val="0"/>
          <w:numId w:val="3"/>
        </w:numPr>
        <w:spacing w:after="20"/>
        <w:ind w:left="0" w:firstLine="426"/>
        <w:jc w:val="both"/>
      </w:pPr>
      <w:r>
        <w:t xml:space="preserve">Вынос геодезических отметок </w:t>
      </w:r>
      <w:r w:rsidR="00124CED">
        <w:t>на местности</w:t>
      </w:r>
      <w:r w:rsidR="00454337">
        <w:t>,</w:t>
      </w:r>
      <w:r w:rsidR="00CD4A95">
        <w:t xml:space="preserve"> согласно Постановлению БГО №</w:t>
      </w:r>
      <w:r w:rsidR="00124CED">
        <w:t>977-6</w:t>
      </w:r>
      <w:r>
        <w:t>.</w:t>
      </w:r>
    </w:p>
    <w:p w:rsidR="00124CED" w:rsidRDefault="00124CED" w:rsidP="00124CED">
      <w:pPr>
        <w:pStyle w:val="a5"/>
        <w:numPr>
          <w:ilvl w:val="0"/>
          <w:numId w:val="3"/>
        </w:numPr>
        <w:spacing w:after="20"/>
        <w:ind w:left="0" w:firstLine="426"/>
      </w:pPr>
      <w:r>
        <w:t>Технологическое присоединение к существующим сетям водоотведения.</w:t>
      </w:r>
    </w:p>
    <w:p w:rsidR="0082066E" w:rsidRPr="00E1320E" w:rsidRDefault="0082066E" w:rsidP="00CD4A9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24CED" w:rsidRPr="00145A5C" w:rsidRDefault="00124CED" w:rsidP="00124CE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CD4A95">
      <w:pPr>
        <w:pStyle w:val="a5"/>
        <w:numPr>
          <w:ilvl w:val="0"/>
          <w:numId w:val="1"/>
        </w:numPr>
        <w:spacing w:after="20"/>
        <w:ind w:left="0" w:firstLine="426"/>
        <w:jc w:val="both"/>
        <w:rPr>
          <w:b/>
        </w:rPr>
      </w:pPr>
      <w:r w:rsidRPr="00E1320E">
        <w:rPr>
          <w:b/>
        </w:rPr>
        <w:t>Условия выполнения работ</w:t>
      </w:r>
    </w:p>
    <w:p w:rsidR="00124CED" w:rsidRDefault="00124CED" w:rsidP="00124CED">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24CED" w:rsidRDefault="00124CED" w:rsidP="00124CED">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24CED" w:rsidRDefault="00124CED" w:rsidP="00124CED">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F53556" w:rsidRDefault="00896C64" w:rsidP="00124CED">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B14057">
        <w:t>ми Заказчика в срок не позднее 5</w:t>
      </w:r>
      <w:r w:rsidR="00BE15C9">
        <w:t xml:space="preserve"> (</w:t>
      </w:r>
      <w:r w:rsidR="00B14057">
        <w:t>пяти) рабочих</w:t>
      </w:r>
      <w:r w:rsidR="00BE15C9">
        <w:t xml:space="preserve"> дн</w:t>
      </w:r>
      <w:r w:rsidR="00B14057">
        <w:t>ей</w:t>
      </w:r>
      <w:r w:rsidR="00BE15C9">
        <w:t xml:space="preserve"> с момента готовности объекта к проведению исполнительной геодезической съемки.</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CD4A9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54337" w:rsidRPr="00454337" w:rsidRDefault="00454337" w:rsidP="00CD4A95">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454337" w:rsidRPr="00F82459" w:rsidRDefault="00454337" w:rsidP="00CD4A95">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54337" w:rsidRPr="00F82459" w:rsidRDefault="00454337" w:rsidP="00CD4A95">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54337" w:rsidRPr="00F82459" w:rsidRDefault="00454337" w:rsidP="00CD4A95">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454337" w:rsidRPr="00F82459" w:rsidRDefault="00454337" w:rsidP="00CD4A95">
      <w:pPr>
        <w:numPr>
          <w:ilvl w:val="0"/>
          <w:numId w:val="12"/>
        </w:numPr>
        <w:ind w:right="114"/>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54337" w:rsidRPr="00F82459" w:rsidRDefault="00454337" w:rsidP="00CD4A95">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54337" w:rsidRPr="00F82459" w:rsidRDefault="00454337" w:rsidP="00CD4A95">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54337" w:rsidRPr="00F82459" w:rsidRDefault="00454337" w:rsidP="00CD4A95">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54337" w:rsidRPr="00F82459" w:rsidRDefault="00454337" w:rsidP="00CD4A95">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454337" w:rsidRPr="00F82459" w:rsidRDefault="00454337" w:rsidP="00CD4A95">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54337" w:rsidRPr="00F82459" w:rsidRDefault="00454337" w:rsidP="00CD4A95">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54337" w:rsidRDefault="00454337" w:rsidP="00CD4A95">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CD4A9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CD4A9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CD4A9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CD4A9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CD4A9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607C14">
        <w:rPr>
          <w:rFonts w:eastAsia="Calibri"/>
          <w:lang w:eastAsia="en-US"/>
        </w:rPr>
        <w:t xml:space="preserve"> в 1-ом экземпляре</w:t>
      </w:r>
      <w:r w:rsidRPr="00E1320E">
        <w:rPr>
          <w:rFonts w:eastAsia="Calibri"/>
          <w:lang w:eastAsia="en-US"/>
        </w:rPr>
        <w:t>:</w:t>
      </w:r>
    </w:p>
    <w:p w:rsidR="00E1320E" w:rsidRPr="007F7921" w:rsidRDefault="00C649AC" w:rsidP="00CD4A9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54337" w:rsidRPr="00A05097"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54337" w:rsidRPr="00FD3642"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54337" w:rsidRPr="00A67525"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674A7"/>
    <w:rsid w:val="0008558D"/>
    <w:rsid w:val="00086266"/>
    <w:rsid w:val="0009102A"/>
    <w:rsid w:val="00091191"/>
    <w:rsid w:val="00124CED"/>
    <w:rsid w:val="0013007C"/>
    <w:rsid w:val="0015692A"/>
    <w:rsid w:val="00156AFB"/>
    <w:rsid w:val="001A3DB7"/>
    <w:rsid w:val="001F52CD"/>
    <w:rsid w:val="00226DF1"/>
    <w:rsid w:val="00262C4E"/>
    <w:rsid w:val="00265933"/>
    <w:rsid w:val="00271306"/>
    <w:rsid w:val="002E0DFC"/>
    <w:rsid w:val="003063B8"/>
    <w:rsid w:val="00306DB6"/>
    <w:rsid w:val="00312A2E"/>
    <w:rsid w:val="003363B2"/>
    <w:rsid w:val="003B0E72"/>
    <w:rsid w:val="003B73B5"/>
    <w:rsid w:val="00440B31"/>
    <w:rsid w:val="00454337"/>
    <w:rsid w:val="0045743F"/>
    <w:rsid w:val="004840C3"/>
    <w:rsid w:val="00484881"/>
    <w:rsid w:val="00495DF8"/>
    <w:rsid w:val="00497CC8"/>
    <w:rsid w:val="004B13E8"/>
    <w:rsid w:val="004B6670"/>
    <w:rsid w:val="004C73A4"/>
    <w:rsid w:val="004E397C"/>
    <w:rsid w:val="005011E6"/>
    <w:rsid w:val="00561983"/>
    <w:rsid w:val="00607C14"/>
    <w:rsid w:val="006159AD"/>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A05097"/>
    <w:rsid w:val="00A05C3E"/>
    <w:rsid w:val="00A21348"/>
    <w:rsid w:val="00A50312"/>
    <w:rsid w:val="00A57462"/>
    <w:rsid w:val="00A67525"/>
    <w:rsid w:val="00B14057"/>
    <w:rsid w:val="00B239DF"/>
    <w:rsid w:val="00B622AA"/>
    <w:rsid w:val="00BA323A"/>
    <w:rsid w:val="00BE15C9"/>
    <w:rsid w:val="00BF68A5"/>
    <w:rsid w:val="00C03813"/>
    <w:rsid w:val="00C34139"/>
    <w:rsid w:val="00C524D3"/>
    <w:rsid w:val="00C60DD5"/>
    <w:rsid w:val="00C649AC"/>
    <w:rsid w:val="00C671C1"/>
    <w:rsid w:val="00C77129"/>
    <w:rsid w:val="00C93E36"/>
    <w:rsid w:val="00CC1B97"/>
    <w:rsid w:val="00CC2F12"/>
    <w:rsid w:val="00CD4A95"/>
    <w:rsid w:val="00D364C3"/>
    <w:rsid w:val="00D95989"/>
    <w:rsid w:val="00DD746F"/>
    <w:rsid w:val="00DE2027"/>
    <w:rsid w:val="00DF284E"/>
    <w:rsid w:val="00E05183"/>
    <w:rsid w:val="00E1320E"/>
    <w:rsid w:val="00E23012"/>
    <w:rsid w:val="00E548D9"/>
    <w:rsid w:val="00E843E3"/>
    <w:rsid w:val="00F339F1"/>
    <w:rsid w:val="00F529C6"/>
    <w:rsid w:val="00F53556"/>
    <w:rsid w:val="00F6651B"/>
    <w:rsid w:val="00F80E9B"/>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25D9"/>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8F1E-0044-4090-9204-9DF12DAE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2020-05-14T10:32:00Z</cp:lastPrinted>
  <dcterms:created xsi:type="dcterms:W3CDTF">2020-04-13T04:11:00Z</dcterms:created>
  <dcterms:modified xsi:type="dcterms:W3CDTF">2020-06-29T03:32:00Z</dcterms:modified>
</cp:coreProperties>
</file>